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F0" w:rsidRDefault="000929F0">
      <w:pPr>
        <w:spacing w:before="1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0929F0" w:rsidRDefault="00092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709" w:dyaOrig="829">
          <v:rect id="rectole0000000000" o:spid="_x0000_i1025" style="width:35.25pt;height:41.25pt" o:ole="" o:preferrelative="t" stroked="f">
            <v:imagedata r:id="rId5" o:title=""/>
          </v:rect>
          <o:OLEObject Type="Embed" ProgID="StaticMetafile" ShapeID="rectole0000000000" DrawAspect="Content" ObjectID="_1582617491" r:id="rId6"/>
        </w:object>
      </w:r>
    </w:p>
    <w:p w:rsidR="000929F0" w:rsidRDefault="00895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MINISTERO DELL’ISTRUZIONE, DELL’UNIVERSITA’ E DELLA RICERCA</w:t>
      </w:r>
    </w:p>
    <w:p w:rsidR="000929F0" w:rsidRDefault="00895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UFFICIO SCOLASTICO REGIONALE PER IL LAZIO</w:t>
      </w:r>
    </w:p>
    <w:p w:rsidR="000929F0" w:rsidRDefault="00895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0"/>
        </w:rPr>
      </w:pPr>
      <w:r>
        <w:rPr>
          <w:rFonts w:ascii="Times New Roman" w:eastAsia="Times New Roman" w:hAnsi="Times New Roman" w:cs="Times New Roman"/>
          <w:b/>
          <w:i/>
          <w:caps/>
          <w:sz w:val="20"/>
        </w:rPr>
        <w:t>rmIC8CP00E – ISTITUTO COMPRENSIVO CASTELVERDE</w:t>
      </w:r>
    </w:p>
    <w:p w:rsidR="000929F0" w:rsidRDefault="00895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Via Massa di San Giuliano, 131 - Cap. 00132 Roma</w:t>
      </w:r>
    </w:p>
    <w:p w:rsidR="000929F0" w:rsidRDefault="00895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- 06</w:t>
      </w:r>
      <w:r>
        <w:rPr>
          <w:rFonts w:ascii="Times New Roman" w:eastAsia="Times New Roman" w:hAnsi="Times New Roman" w:cs="Times New Roman"/>
          <w:b/>
          <w:i/>
          <w:sz w:val="20"/>
        </w:rPr>
        <w:t>45590500 -  Fax - 0645590501</w:t>
      </w:r>
    </w:p>
    <w:p w:rsidR="000929F0" w:rsidRDefault="008950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Mail: </w:t>
      </w:r>
      <w:r>
        <w:rPr>
          <w:rFonts w:ascii="Times New Roman" w:eastAsia="Times New Roman" w:hAnsi="Times New Roman" w:cs="Times New Roman"/>
          <w:i/>
          <w:sz w:val="20"/>
          <w:u w:val="single"/>
        </w:rPr>
        <w:t>rmic8cp00e@istruzione.it</w:t>
      </w:r>
      <w:r>
        <w:rPr>
          <w:rFonts w:ascii="Times New Roman" w:eastAsia="Times New Roman" w:hAnsi="Times New Roman" w:cs="Times New Roman"/>
          <w:i/>
          <w:caps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Pec: rmic8cp00e@pec.istruzione.it</w:t>
      </w:r>
    </w:p>
    <w:p w:rsidR="000929F0" w:rsidRDefault="008950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Sito web: </w:t>
      </w:r>
      <w:hyperlink r:id="rId7"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www.iccastelverderoma.it</w:t>
        </w:r>
      </w:hyperlink>
    </w:p>
    <w:p w:rsidR="000929F0" w:rsidRDefault="00895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Codice Fiscale 97616500589 - DIS. XVI</w:t>
      </w:r>
    </w:p>
    <w:p w:rsidR="000929F0" w:rsidRDefault="00895083">
      <w:pPr>
        <w:spacing w:before="1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</w:t>
      </w:r>
    </w:p>
    <w:p w:rsidR="000929F0" w:rsidRDefault="000929F0">
      <w:pPr>
        <w:spacing w:before="1"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</w:p>
    <w:p w:rsidR="000929F0" w:rsidRDefault="000929F0">
      <w:pPr>
        <w:spacing w:before="16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9F0" w:rsidRDefault="00895083">
      <w:pPr>
        <w:spacing w:before="16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REGOLAMENTO RIPARTIZIONE INCENTIVI</w:t>
      </w:r>
    </w:p>
    <w:p w:rsidR="000929F0" w:rsidRDefault="00895083">
      <w:pPr>
        <w:spacing w:before="16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Programmazione locale, nazionale e comunitaria - Criteri di ripartizione per la distribuzione del fondo ex art. 113 del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Dlgs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n. 50 del 2016.</w:t>
      </w:r>
    </w:p>
    <w:p w:rsidR="000929F0" w:rsidRDefault="000929F0">
      <w:pPr>
        <w:spacing w:before="16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9F0" w:rsidRDefault="00895083">
      <w:pPr>
        <w:spacing w:after="0" w:line="240" w:lineRule="auto"/>
        <w:ind w:left="1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Verdana" w:eastAsia="Verdana" w:hAnsi="Verdana" w:cs="Verdana"/>
          <w:b/>
          <w:sz w:val="24"/>
        </w:rPr>
        <w:t>ART. 1</w:t>
      </w:r>
    </w:p>
    <w:p w:rsidR="000929F0" w:rsidRDefault="00895083">
      <w:pPr>
        <w:spacing w:after="0" w:line="240" w:lineRule="auto"/>
        <w:ind w:left="11"/>
        <w:rPr>
          <w:rFonts w:ascii="Verdana" w:eastAsia="Verdana" w:hAnsi="Verdana" w:cs="Verdana"/>
          <w:b/>
          <w:i/>
          <w:sz w:val="24"/>
        </w:rPr>
      </w:pPr>
      <w:r>
        <w:rPr>
          <w:rFonts w:ascii="Verdana" w:eastAsia="Verdana" w:hAnsi="Verdana" w:cs="Verdana"/>
          <w:b/>
          <w:i/>
          <w:sz w:val="24"/>
        </w:rPr>
        <w:t>Oggetto, Definizione e Ambito d’applicazione</w:t>
      </w:r>
    </w:p>
    <w:p w:rsidR="000929F0" w:rsidRDefault="00895083">
      <w:pPr>
        <w:numPr>
          <w:ilvl w:val="0"/>
          <w:numId w:val="1"/>
        </w:numPr>
        <w:tabs>
          <w:tab w:val="left" w:pos="538"/>
        </w:tabs>
        <w:spacing w:after="0" w:line="240" w:lineRule="auto"/>
        <w:ind w:left="10" w:hanging="10"/>
        <w:jc w:val="both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Il presente regolamento disciplina le modalità di ripartizione dell’incentivo di cui all’art. 113 del </w:t>
      </w:r>
      <w:proofErr w:type="spellStart"/>
      <w:r>
        <w:rPr>
          <w:rFonts w:ascii="Verdana" w:eastAsia="Verdana" w:hAnsi="Verdana" w:cs="Verdana"/>
          <w:sz w:val="24"/>
        </w:rPr>
        <w:t>D.LGS</w:t>
      </w:r>
      <w:proofErr w:type="spellEnd"/>
      <w:r>
        <w:rPr>
          <w:rFonts w:ascii="Verdana" w:eastAsia="Verdana" w:hAnsi="Verdana" w:cs="Verdana"/>
          <w:sz w:val="24"/>
        </w:rPr>
        <w:t xml:space="preserve"> 50 del 2016 </w:t>
      </w:r>
      <w:r>
        <w:rPr>
          <w:rFonts w:ascii="Verdana" w:eastAsia="Verdana" w:hAnsi="Verdana" w:cs="Verdana"/>
          <w:i/>
          <w:sz w:val="24"/>
        </w:rPr>
        <w:t>“Codice dei contratti pubblici relativi a lavori, servizi e forniture”</w:t>
      </w:r>
      <w:r>
        <w:rPr>
          <w:rFonts w:ascii="Verdana" w:eastAsia="Verdana" w:hAnsi="Verdana" w:cs="Verdana"/>
          <w:sz w:val="24"/>
        </w:rPr>
        <w:t>. Tale</w:t>
      </w:r>
      <w:r>
        <w:rPr>
          <w:rFonts w:ascii="Verdana" w:eastAsia="Verdana" w:hAnsi="Verdana" w:cs="Verdana"/>
          <w:i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 xml:space="preserve">incentivo è finalizzato a sviluppare in materia di appalti </w:t>
      </w:r>
      <w:r>
        <w:rPr>
          <w:rFonts w:ascii="Verdana" w:eastAsia="Verdana" w:hAnsi="Verdana" w:cs="Verdana"/>
          <w:sz w:val="24"/>
        </w:rPr>
        <w:t>pubblici le attività di progettazione, di redazione di piani di sicurezza, di direzione lavori, di coordinamento della sicurezza, di collaudo e di tutte le attività gestionali connesse.</w:t>
      </w:r>
    </w:p>
    <w:p w:rsidR="000929F0" w:rsidRDefault="000929F0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0929F0" w:rsidRDefault="00895083">
      <w:pPr>
        <w:spacing w:after="0" w:line="240" w:lineRule="auto"/>
        <w:ind w:left="10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>ART. 2</w:t>
      </w:r>
    </w:p>
    <w:p w:rsidR="000929F0" w:rsidRDefault="00895083">
      <w:pPr>
        <w:spacing w:after="0" w:line="240" w:lineRule="auto"/>
        <w:ind w:left="10"/>
        <w:rPr>
          <w:rFonts w:ascii="Verdana" w:eastAsia="Verdana" w:hAnsi="Verdana" w:cs="Verdana"/>
          <w:b/>
          <w:i/>
          <w:sz w:val="24"/>
        </w:rPr>
      </w:pPr>
      <w:r>
        <w:rPr>
          <w:rFonts w:ascii="Verdana" w:eastAsia="Verdana" w:hAnsi="Verdana" w:cs="Verdana"/>
          <w:b/>
          <w:i/>
          <w:sz w:val="24"/>
        </w:rPr>
        <w:t>Destinazione e Ripartizione dell’incentivo</w:t>
      </w:r>
    </w:p>
    <w:p w:rsidR="000929F0" w:rsidRDefault="00895083">
      <w:pPr>
        <w:numPr>
          <w:ilvl w:val="0"/>
          <w:numId w:val="2"/>
        </w:numPr>
        <w:tabs>
          <w:tab w:val="left" w:pos="409"/>
        </w:tabs>
        <w:spacing w:after="0" w:line="240" w:lineRule="auto"/>
        <w:ind w:left="10" w:hanging="10"/>
        <w:jc w:val="both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L’incentivo di cui </w:t>
      </w:r>
      <w:r>
        <w:rPr>
          <w:rFonts w:ascii="Verdana" w:eastAsia="Verdana" w:hAnsi="Verdana" w:cs="Verdana"/>
          <w:sz w:val="24"/>
        </w:rPr>
        <w:t>all’art. 113 del codice è destinato - sulla base di quanto stabilito con i seguenti criteri - al personale in servizio presso questa Istituzione scolastica, Stazione Appaltante del progetto di cui in premessa. La medesima ripartizione disciplina anche i ra</w:t>
      </w:r>
      <w:r>
        <w:rPr>
          <w:rFonts w:ascii="Verdana" w:eastAsia="Verdana" w:hAnsi="Verdana" w:cs="Verdana"/>
          <w:sz w:val="24"/>
        </w:rPr>
        <w:t>pporti tra l’Istituto Scolastico ed i tecnici indicati dall’Ente Locale per l’espletamento delle attività e servizi di ingegneria richiesti giusto Accordo Bilaterale.</w:t>
      </w:r>
    </w:p>
    <w:p w:rsidR="000929F0" w:rsidRDefault="00895083">
      <w:pPr>
        <w:numPr>
          <w:ilvl w:val="0"/>
          <w:numId w:val="2"/>
        </w:numPr>
        <w:tabs>
          <w:tab w:val="left" w:pos="350"/>
        </w:tabs>
        <w:spacing w:after="0" w:line="240" w:lineRule="auto"/>
        <w:ind w:left="350" w:hanging="350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L’incentivo è ripartito tra le seguenti figure professionali:</w:t>
      </w:r>
    </w:p>
    <w:p w:rsidR="000929F0" w:rsidRDefault="000929F0">
      <w:pPr>
        <w:spacing w:line="240" w:lineRule="auto"/>
        <w:rPr>
          <w:rFonts w:ascii="Verdana" w:eastAsia="Verdana" w:hAnsi="Verdana" w:cs="Verdana"/>
          <w:sz w:val="24"/>
        </w:rPr>
      </w:pPr>
    </w:p>
    <w:p w:rsidR="000929F0" w:rsidRDefault="00895083">
      <w:pPr>
        <w:numPr>
          <w:ilvl w:val="0"/>
          <w:numId w:val="3"/>
        </w:numPr>
        <w:tabs>
          <w:tab w:val="left" w:pos="1090"/>
        </w:tabs>
        <w:spacing w:after="0" w:line="240" w:lineRule="auto"/>
        <w:ind w:left="1090" w:hanging="370"/>
        <w:rPr>
          <w:rFonts w:ascii="Symbol" w:eastAsia="Symbol" w:hAnsi="Symbol" w:cs="Symbol"/>
          <w:sz w:val="24"/>
        </w:rPr>
      </w:pPr>
      <w:r>
        <w:rPr>
          <w:rFonts w:ascii="Verdana" w:eastAsia="Verdana" w:hAnsi="Verdana" w:cs="Verdana"/>
          <w:sz w:val="24"/>
        </w:rPr>
        <w:t xml:space="preserve">il Responsabile Unico del </w:t>
      </w:r>
      <w:r>
        <w:rPr>
          <w:rFonts w:ascii="Verdana" w:eastAsia="Verdana" w:hAnsi="Verdana" w:cs="Verdana"/>
          <w:sz w:val="24"/>
        </w:rPr>
        <w:t>Procedimento (</w:t>
      </w:r>
      <w:proofErr w:type="spellStart"/>
      <w:r>
        <w:rPr>
          <w:rFonts w:ascii="Verdana" w:eastAsia="Verdana" w:hAnsi="Verdana" w:cs="Verdana"/>
          <w:sz w:val="24"/>
        </w:rPr>
        <w:t>R.U.P.</w:t>
      </w:r>
      <w:proofErr w:type="spellEnd"/>
      <w:r>
        <w:rPr>
          <w:rFonts w:ascii="Verdana" w:eastAsia="Verdana" w:hAnsi="Verdana" w:cs="Verdana"/>
          <w:sz w:val="24"/>
        </w:rPr>
        <w:t>);</w:t>
      </w:r>
    </w:p>
    <w:p w:rsidR="000929F0" w:rsidRDefault="00895083">
      <w:pPr>
        <w:numPr>
          <w:ilvl w:val="0"/>
          <w:numId w:val="3"/>
        </w:numPr>
        <w:tabs>
          <w:tab w:val="left" w:pos="1090"/>
        </w:tabs>
        <w:spacing w:after="0" w:line="240" w:lineRule="auto"/>
        <w:ind w:left="1090" w:hanging="370"/>
        <w:rPr>
          <w:rFonts w:ascii="Symbol" w:eastAsia="Symbol" w:hAnsi="Symbol" w:cs="Symbol"/>
          <w:sz w:val="24"/>
        </w:rPr>
      </w:pPr>
      <w:r>
        <w:rPr>
          <w:rFonts w:ascii="Verdana" w:eastAsia="Verdana" w:hAnsi="Verdana" w:cs="Verdana"/>
          <w:sz w:val="24"/>
        </w:rPr>
        <w:t>gli incaricati della progettazione;</w:t>
      </w:r>
    </w:p>
    <w:p w:rsidR="000929F0" w:rsidRDefault="00895083">
      <w:pPr>
        <w:numPr>
          <w:ilvl w:val="0"/>
          <w:numId w:val="3"/>
        </w:numPr>
        <w:tabs>
          <w:tab w:val="left" w:pos="1090"/>
        </w:tabs>
        <w:spacing w:after="0" w:line="240" w:lineRule="auto"/>
        <w:ind w:left="1090" w:hanging="370"/>
        <w:rPr>
          <w:rFonts w:ascii="Symbol" w:eastAsia="Symbol" w:hAnsi="Symbol" w:cs="Symbol"/>
          <w:sz w:val="24"/>
        </w:rPr>
      </w:pPr>
      <w:r>
        <w:rPr>
          <w:rFonts w:ascii="Verdana" w:eastAsia="Verdana" w:hAnsi="Verdana" w:cs="Verdana"/>
          <w:sz w:val="24"/>
        </w:rPr>
        <w:t>il coordinatore della sicurezza in fase di progettazione e di esecuzione;</w:t>
      </w:r>
    </w:p>
    <w:p w:rsidR="000929F0" w:rsidRDefault="00895083">
      <w:pPr>
        <w:numPr>
          <w:ilvl w:val="0"/>
          <w:numId w:val="3"/>
        </w:numPr>
        <w:tabs>
          <w:tab w:val="left" w:pos="1090"/>
        </w:tabs>
        <w:spacing w:after="0" w:line="240" w:lineRule="auto"/>
        <w:ind w:left="1090" w:hanging="370"/>
        <w:rPr>
          <w:rFonts w:ascii="Symbol" w:eastAsia="Symbol" w:hAnsi="Symbol" w:cs="Symbol"/>
          <w:sz w:val="24"/>
        </w:rPr>
      </w:pPr>
      <w:r>
        <w:rPr>
          <w:rFonts w:ascii="Verdana" w:eastAsia="Verdana" w:hAnsi="Verdana" w:cs="Verdana"/>
          <w:sz w:val="24"/>
        </w:rPr>
        <w:t>il direttore dei lavori;</w:t>
      </w:r>
    </w:p>
    <w:p w:rsidR="000929F0" w:rsidRDefault="00895083">
      <w:pPr>
        <w:numPr>
          <w:ilvl w:val="0"/>
          <w:numId w:val="3"/>
        </w:numPr>
        <w:tabs>
          <w:tab w:val="left" w:pos="1090"/>
        </w:tabs>
        <w:spacing w:after="0" w:line="240" w:lineRule="auto"/>
        <w:ind w:left="1090" w:hanging="370"/>
        <w:rPr>
          <w:rFonts w:ascii="Symbol" w:eastAsia="Symbol" w:hAnsi="Symbol" w:cs="Symbol"/>
          <w:sz w:val="24"/>
        </w:rPr>
      </w:pPr>
      <w:r>
        <w:rPr>
          <w:rFonts w:ascii="Verdana" w:eastAsia="Verdana" w:hAnsi="Verdana" w:cs="Verdana"/>
          <w:sz w:val="24"/>
        </w:rPr>
        <w:t>il collaudatore tecnico amministrativo;</w:t>
      </w:r>
    </w:p>
    <w:p w:rsidR="000929F0" w:rsidRDefault="00895083">
      <w:pPr>
        <w:numPr>
          <w:ilvl w:val="0"/>
          <w:numId w:val="3"/>
        </w:numPr>
        <w:tabs>
          <w:tab w:val="left" w:pos="1090"/>
        </w:tabs>
        <w:spacing w:after="0" w:line="240" w:lineRule="auto"/>
        <w:ind w:left="1090" w:hanging="370"/>
        <w:rPr>
          <w:rFonts w:ascii="Symbol" w:eastAsia="Symbol" w:hAnsi="Symbol" w:cs="Symbol"/>
          <w:sz w:val="24"/>
        </w:rPr>
      </w:pPr>
      <w:r>
        <w:rPr>
          <w:rFonts w:ascii="Verdana" w:eastAsia="Verdana" w:hAnsi="Verdana" w:cs="Verdana"/>
          <w:sz w:val="24"/>
        </w:rPr>
        <w:t>i collaboratori tecnici di supporto al responsabile unico del procedimento.</w:t>
      </w:r>
    </w:p>
    <w:p w:rsidR="00895083" w:rsidRDefault="00895083">
      <w:pPr>
        <w:spacing w:after="0" w:line="240" w:lineRule="auto"/>
        <w:ind w:left="11"/>
        <w:rPr>
          <w:rFonts w:ascii="Verdana" w:eastAsia="Verdana" w:hAnsi="Verdana" w:cs="Verdana"/>
          <w:b/>
          <w:sz w:val="24"/>
        </w:rPr>
      </w:pPr>
    </w:p>
    <w:p w:rsidR="00895083" w:rsidRDefault="00895083">
      <w:pPr>
        <w:spacing w:after="0" w:line="240" w:lineRule="auto"/>
        <w:ind w:left="11"/>
        <w:rPr>
          <w:rFonts w:ascii="Verdana" w:eastAsia="Verdana" w:hAnsi="Verdana" w:cs="Verdana"/>
          <w:b/>
          <w:sz w:val="24"/>
        </w:rPr>
      </w:pPr>
    </w:p>
    <w:p w:rsidR="00895083" w:rsidRDefault="00895083">
      <w:pPr>
        <w:spacing w:after="0" w:line="240" w:lineRule="auto"/>
        <w:ind w:left="11"/>
        <w:rPr>
          <w:rFonts w:ascii="Verdana" w:eastAsia="Verdana" w:hAnsi="Verdana" w:cs="Verdana"/>
          <w:b/>
          <w:sz w:val="24"/>
        </w:rPr>
      </w:pPr>
    </w:p>
    <w:p w:rsidR="00895083" w:rsidRDefault="00895083">
      <w:pPr>
        <w:spacing w:after="0" w:line="240" w:lineRule="auto"/>
        <w:ind w:left="11"/>
        <w:rPr>
          <w:rFonts w:ascii="Verdana" w:eastAsia="Verdana" w:hAnsi="Verdana" w:cs="Verdana"/>
          <w:b/>
          <w:sz w:val="24"/>
        </w:rPr>
      </w:pPr>
    </w:p>
    <w:p w:rsidR="000929F0" w:rsidRDefault="00895083">
      <w:pPr>
        <w:spacing w:after="0" w:line="240" w:lineRule="auto"/>
        <w:ind w:left="11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lastRenderedPageBreak/>
        <w:t>ART. 3</w:t>
      </w:r>
    </w:p>
    <w:p w:rsidR="000929F0" w:rsidRDefault="00895083">
      <w:pPr>
        <w:spacing w:after="0" w:line="240" w:lineRule="auto"/>
        <w:ind w:left="11"/>
        <w:rPr>
          <w:rFonts w:ascii="Verdana" w:eastAsia="Verdana" w:hAnsi="Verdana" w:cs="Verdana"/>
          <w:b/>
          <w:i/>
          <w:sz w:val="24"/>
        </w:rPr>
      </w:pPr>
      <w:r>
        <w:rPr>
          <w:rFonts w:ascii="Verdana" w:eastAsia="Verdana" w:hAnsi="Verdana" w:cs="Verdana"/>
          <w:b/>
          <w:i/>
          <w:sz w:val="24"/>
        </w:rPr>
        <w:t>Costituzione e quantificazione dell’incentivo</w:t>
      </w:r>
    </w:p>
    <w:p w:rsidR="000929F0" w:rsidRDefault="00895083">
      <w:pPr>
        <w:numPr>
          <w:ilvl w:val="0"/>
          <w:numId w:val="4"/>
        </w:numPr>
        <w:tabs>
          <w:tab w:val="left" w:pos="402"/>
        </w:tabs>
        <w:spacing w:after="0" w:line="240" w:lineRule="auto"/>
        <w:ind w:left="10" w:hanging="10"/>
        <w:jc w:val="both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L’incentivo di cui all’art. 113 del codice è costituito da una somma pari al </w:t>
      </w:r>
      <w:r>
        <w:rPr>
          <w:rFonts w:ascii="Verdana" w:eastAsia="Verdana" w:hAnsi="Verdana" w:cs="Verdana"/>
          <w:b/>
          <w:sz w:val="24"/>
        </w:rPr>
        <w:t>2,00%</w:t>
      </w:r>
      <w:r>
        <w:rPr>
          <w:rFonts w:ascii="Verdana" w:eastAsia="Verdana" w:hAnsi="Verdana" w:cs="Verdana"/>
          <w:sz w:val="24"/>
        </w:rPr>
        <w:t xml:space="preserve"> dell’importo posto a base di gara di un’opera o di un lavoro, compresi gli oneri per la sicurezza.</w:t>
      </w:r>
    </w:p>
    <w:p w:rsidR="000929F0" w:rsidRDefault="00895083">
      <w:pPr>
        <w:numPr>
          <w:ilvl w:val="0"/>
          <w:numId w:val="4"/>
        </w:numPr>
        <w:tabs>
          <w:tab w:val="left" w:pos="400"/>
        </w:tabs>
        <w:spacing w:after="0" w:line="240" w:lineRule="auto"/>
        <w:ind w:left="10" w:hanging="10"/>
        <w:jc w:val="both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L’importo dell’incentivo si intende al lordo di tutti gli oneri accessori connessi all’erogazione, ivi compresa la quota di oneri previdenziali e assistenzi</w:t>
      </w:r>
      <w:r>
        <w:rPr>
          <w:rFonts w:ascii="Verdana" w:eastAsia="Verdana" w:hAnsi="Verdana" w:cs="Verdana"/>
          <w:sz w:val="24"/>
        </w:rPr>
        <w:t>ali a carico dell’Istituto.</w:t>
      </w:r>
    </w:p>
    <w:p w:rsidR="000929F0" w:rsidRDefault="00895083">
      <w:pPr>
        <w:numPr>
          <w:ilvl w:val="0"/>
          <w:numId w:val="4"/>
        </w:numPr>
        <w:tabs>
          <w:tab w:val="left" w:pos="414"/>
        </w:tabs>
        <w:spacing w:after="0" w:line="240" w:lineRule="auto"/>
        <w:ind w:left="10" w:hanging="10"/>
        <w:jc w:val="both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Gli importi corrispondenti alle percentuali applicate ai lavori a base d’asta saranno inseriti tra le somme a disposizione dell’Amministrazione nel quadro economico del progetto.</w:t>
      </w:r>
    </w:p>
    <w:p w:rsidR="000929F0" w:rsidRDefault="00895083">
      <w:pPr>
        <w:numPr>
          <w:ilvl w:val="0"/>
          <w:numId w:val="4"/>
        </w:numPr>
        <w:tabs>
          <w:tab w:val="left" w:pos="513"/>
        </w:tabs>
        <w:spacing w:after="0" w:line="240" w:lineRule="auto"/>
        <w:ind w:left="10" w:hanging="10"/>
        <w:jc w:val="both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Per le opere di qualsiasi importo i coefficienti </w:t>
      </w:r>
      <w:r>
        <w:rPr>
          <w:rFonts w:ascii="Verdana" w:eastAsia="Verdana" w:hAnsi="Verdana" w:cs="Verdana"/>
          <w:sz w:val="24"/>
        </w:rPr>
        <w:t>di ripartizione dell’incentivo saranno attribuiti alle varie figure professionali intervenute nella realizzazione dell’appalto secondo le seguenti percentuali massime:</w:t>
      </w:r>
    </w:p>
    <w:p w:rsidR="000929F0" w:rsidRDefault="000929F0">
      <w:pPr>
        <w:tabs>
          <w:tab w:val="left" w:pos="513"/>
        </w:tabs>
        <w:spacing w:after="0" w:line="240" w:lineRule="auto"/>
        <w:ind w:left="10"/>
        <w:jc w:val="both"/>
        <w:rPr>
          <w:rFonts w:ascii="Verdana" w:eastAsia="Verdana" w:hAnsi="Verdana" w:cs="Verdana"/>
          <w:sz w:val="24"/>
        </w:rPr>
      </w:pPr>
    </w:p>
    <w:p w:rsidR="000929F0" w:rsidRDefault="00895083">
      <w:pPr>
        <w:numPr>
          <w:ilvl w:val="0"/>
          <w:numId w:val="5"/>
        </w:numPr>
        <w:tabs>
          <w:tab w:val="left" w:pos="730"/>
        </w:tabs>
        <w:spacing w:after="0" w:line="240" w:lineRule="auto"/>
        <w:ind w:left="730" w:hanging="370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Responsabile Unico del Procedimento: </w:t>
      </w:r>
      <w:r>
        <w:rPr>
          <w:rFonts w:ascii="Verdana" w:eastAsia="Verdana" w:hAnsi="Verdana" w:cs="Verdana"/>
          <w:b/>
          <w:sz w:val="24"/>
        </w:rPr>
        <w:t>50.0%</w:t>
      </w:r>
      <w:r>
        <w:rPr>
          <w:rFonts w:ascii="Verdana" w:eastAsia="Verdana" w:hAnsi="Verdana" w:cs="Verdana"/>
          <w:sz w:val="24"/>
        </w:rPr>
        <w:t>;</w:t>
      </w:r>
    </w:p>
    <w:p w:rsidR="000929F0" w:rsidRDefault="00895083">
      <w:pPr>
        <w:numPr>
          <w:ilvl w:val="0"/>
          <w:numId w:val="5"/>
        </w:numPr>
        <w:tabs>
          <w:tab w:val="left" w:pos="730"/>
        </w:tabs>
        <w:spacing w:after="0" w:line="240" w:lineRule="auto"/>
        <w:ind w:left="730" w:hanging="370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redattori del progetto, coordinatori piano </w:t>
      </w:r>
      <w:r>
        <w:rPr>
          <w:rFonts w:ascii="Verdana" w:eastAsia="Verdana" w:hAnsi="Verdana" w:cs="Verdana"/>
          <w:sz w:val="24"/>
        </w:rPr>
        <w:t xml:space="preserve">di sicurezza, direzione lavori: </w:t>
      </w:r>
      <w:r>
        <w:rPr>
          <w:rFonts w:ascii="Verdana" w:eastAsia="Verdana" w:hAnsi="Verdana" w:cs="Verdana"/>
          <w:b/>
          <w:sz w:val="24"/>
        </w:rPr>
        <w:t>30.0%</w:t>
      </w:r>
      <w:r>
        <w:rPr>
          <w:rFonts w:ascii="Verdana" w:eastAsia="Verdana" w:hAnsi="Verdana" w:cs="Verdana"/>
          <w:sz w:val="24"/>
        </w:rPr>
        <w:t>, ulteriormente ripartiti come di seguito:</w:t>
      </w:r>
    </w:p>
    <w:tbl>
      <w:tblPr>
        <w:tblW w:w="0" w:type="auto"/>
        <w:tblInd w:w="1410" w:type="dxa"/>
        <w:tblCellMar>
          <w:left w:w="10" w:type="dxa"/>
          <w:right w:w="10" w:type="dxa"/>
        </w:tblCellMar>
        <w:tblLook w:val="0000"/>
      </w:tblPr>
      <w:tblGrid>
        <w:gridCol w:w="480"/>
        <w:gridCol w:w="6500"/>
        <w:gridCol w:w="1080"/>
      </w:tblGrid>
      <w:tr w:rsidR="000929F0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929F0" w:rsidRDefault="00895083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4"/>
              </w:rPr>
              <w:t>b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.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>1</w:t>
            </w:r>
          </w:p>
        </w:tc>
        <w:tc>
          <w:tcPr>
            <w:tcW w:w="6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929F0" w:rsidRDefault="00895083">
            <w:pPr>
              <w:spacing w:after="0" w:line="240" w:lineRule="auto"/>
              <w:ind w:left="40"/>
            </w:pPr>
            <w:r>
              <w:rPr>
                <w:rFonts w:ascii="Verdana" w:eastAsia="Verdana" w:hAnsi="Verdana" w:cs="Verdana"/>
                <w:sz w:val="24"/>
              </w:rPr>
              <w:t>– redattori del progetto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929F0" w:rsidRDefault="00895083">
            <w:pPr>
              <w:spacing w:after="0" w:line="240" w:lineRule="auto"/>
              <w:ind w:left="100"/>
            </w:pPr>
            <w:r>
              <w:rPr>
                <w:rFonts w:ascii="Verdana" w:eastAsia="Verdana" w:hAnsi="Verdana" w:cs="Verdana"/>
                <w:b/>
                <w:i/>
                <w:sz w:val="24"/>
              </w:rPr>
              <w:t>40%</w:t>
            </w:r>
          </w:p>
        </w:tc>
      </w:tr>
      <w:tr w:rsidR="000929F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929F0" w:rsidRDefault="00895083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4"/>
              </w:rPr>
              <w:t>b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.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>2</w:t>
            </w:r>
          </w:p>
        </w:tc>
        <w:tc>
          <w:tcPr>
            <w:tcW w:w="6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929F0" w:rsidRDefault="00895083">
            <w:pPr>
              <w:spacing w:after="0" w:line="240" w:lineRule="auto"/>
              <w:ind w:left="40"/>
            </w:pPr>
            <w:r>
              <w:rPr>
                <w:rFonts w:ascii="Verdana" w:eastAsia="Verdana" w:hAnsi="Verdana" w:cs="Verdana"/>
                <w:sz w:val="24"/>
              </w:rPr>
              <w:t>– direzione lavori e contabilità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929F0" w:rsidRDefault="00895083">
            <w:pPr>
              <w:spacing w:after="0" w:line="240" w:lineRule="auto"/>
              <w:ind w:left="100"/>
            </w:pPr>
            <w:r>
              <w:rPr>
                <w:rFonts w:ascii="Verdana" w:eastAsia="Verdana" w:hAnsi="Verdana" w:cs="Verdana"/>
                <w:b/>
                <w:i/>
                <w:sz w:val="24"/>
              </w:rPr>
              <w:t>60%</w:t>
            </w:r>
          </w:p>
        </w:tc>
      </w:tr>
    </w:tbl>
    <w:p w:rsidR="000929F0" w:rsidRDefault="00895083">
      <w:pPr>
        <w:numPr>
          <w:ilvl w:val="0"/>
          <w:numId w:val="6"/>
        </w:numPr>
        <w:tabs>
          <w:tab w:val="left" w:pos="730"/>
        </w:tabs>
        <w:spacing w:after="0" w:line="240" w:lineRule="auto"/>
        <w:ind w:left="730" w:hanging="370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collaudo tecnico-amministrativo: </w:t>
      </w:r>
      <w:r>
        <w:rPr>
          <w:rFonts w:ascii="Verdana" w:eastAsia="Verdana" w:hAnsi="Verdana" w:cs="Verdana"/>
          <w:b/>
          <w:sz w:val="24"/>
        </w:rPr>
        <w:t>10.0%</w:t>
      </w:r>
      <w:r>
        <w:rPr>
          <w:rFonts w:ascii="Verdana" w:eastAsia="Verdana" w:hAnsi="Verdana" w:cs="Verdana"/>
          <w:sz w:val="24"/>
        </w:rPr>
        <w:t>;</w:t>
      </w:r>
    </w:p>
    <w:p w:rsidR="000929F0" w:rsidRDefault="00895083">
      <w:pPr>
        <w:numPr>
          <w:ilvl w:val="0"/>
          <w:numId w:val="6"/>
        </w:numPr>
        <w:tabs>
          <w:tab w:val="left" w:pos="730"/>
        </w:tabs>
        <w:spacing w:after="0" w:line="240" w:lineRule="auto"/>
        <w:ind w:left="730" w:hanging="370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collaboratori tecnici di supporto al responsabile unico del procedimento: </w:t>
      </w:r>
      <w:r>
        <w:rPr>
          <w:rFonts w:ascii="Verdana" w:eastAsia="Verdana" w:hAnsi="Verdana" w:cs="Verdana"/>
          <w:b/>
          <w:sz w:val="24"/>
        </w:rPr>
        <w:t>10.0%</w:t>
      </w:r>
      <w:r>
        <w:rPr>
          <w:rFonts w:ascii="Verdana" w:eastAsia="Verdana" w:hAnsi="Verdana" w:cs="Verdana"/>
          <w:sz w:val="24"/>
        </w:rPr>
        <w:t>.</w:t>
      </w:r>
    </w:p>
    <w:p w:rsidR="000929F0" w:rsidRDefault="000929F0">
      <w:pPr>
        <w:spacing w:line="240" w:lineRule="auto"/>
        <w:rPr>
          <w:rFonts w:ascii="Verdana" w:eastAsia="Verdana" w:hAnsi="Verdana" w:cs="Verdana"/>
          <w:sz w:val="24"/>
        </w:rPr>
      </w:pPr>
    </w:p>
    <w:p w:rsidR="000929F0" w:rsidRDefault="00895083">
      <w:pPr>
        <w:numPr>
          <w:ilvl w:val="0"/>
          <w:numId w:val="7"/>
        </w:numPr>
        <w:tabs>
          <w:tab w:val="left" w:pos="375"/>
        </w:tabs>
        <w:spacing w:after="0" w:line="240" w:lineRule="auto"/>
        <w:ind w:left="10" w:hanging="10"/>
        <w:jc w:val="both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I corrispettivi b), c) e d) delle prestazioni di cui al precedente comma 4, non essendo svolte dal personale in servizio presso questa Stazione Appaltante, verranno ripartiti</w:t>
      </w:r>
      <w:r>
        <w:rPr>
          <w:rFonts w:ascii="Verdana" w:eastAsia="Verdana" w:hAnsi="Verdana" w:cs="Verdana"/>
          <w:sz w:val="24"/>
        </w:rPr>
        <w:t xml:space="preserve"> tra le figure professionali di cui all’art. 2 comma 2 del presente Regolamento.</w:t>
      </w:r>
    </w:p>
    <w:p w:rsidR="000929F0" w:rsidRDefault="00895083">
      <w:pPr>
        <w:numPr>
          <w:ilvl w:val="0"/>
          <w:numId w:val="7"/>
        </w:numPr>
        <w:tabs>
          <w:tab w:val="left" w:pos="408"/>
        </w:tabs>
        <w:spacing w:after="0" w:line="240" w:lineRule="auto"/>
        <w:ind w:left="10" w:hanging="10"/>
        <w:jc w:val="both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La ripartizione di dettaglio dei corrispettivi di cui ai punti b</w:t>
      </w:r>
      <w:proofErr w:type="spellStart"/>
      <w:r>
        <w:rPr>
          <w:rFonts w:ascii="Verdana" w:eastAsia="Verdana" w:hAnsi="Verdana" w:cs="Verdana"/>
          <w:sz w:val="24"/>
        </w:rPr>
        <w:t>.</w:t>
      </w:r>
      <w:proofErr w:type="spellEnd"/>
      <w:r>
        <w:rPr>
          <w:rFonts w:ascii="Verdana" w:eastAsia="Verdana" w:hAnsi="Verdana" w:cs="Verdana"/>
          <w:sz w:val="24"/>
        </w:rPr>
        <w:t>1 e b</w:t>
      </w:r>
      <w:proofErr w:type="spellStart"/>
      <w:r>
        <w:rPr>
          <w:rFonts w:ascii="Verdana" w:eastAsia="Verdana" w:hAnsi="Verdana" w:cs="Verdana"/>
          <w:sz w:val="24"/>
        </w:rPr>
        <w:t>.</w:t>
      </w:r>
      <w:proofErr w:type="spellEnd"/>
      <w:r>
        <w:rPr>
          <w:rFonts w:ascii="Verdana" w:eastAsia="Verdana" w:hAnsi="Verdana" w:cs="Verdana"/>
          <w:sz w:val="24"/>
        </w:rPr>
        <w:t>2 sarà eseguita dal Responsabile Unico del Procedimento nominalmente tra i soggetti incaricati delle att</w:t>
      </w:r>
      <w:r>
        <w:rPr>
          <w:rFonts w:ascii="Verdana" w:eastAsia="Verdana" w:hAnsi="Verdana" w:cs="Verdana"/>
          <w:sz w:val="24"/>
        </w:rPr>
        <w:t xml:space="preserve">ività in ragione del ruolo svolto e delle responsabilità professionali conseguenti (ad es. </w:t>
      </w:r>
      <w:proofErr w:type="spellStart"/>
      <w:r>
        <w:rPr>
          <w:rFonts w:ascii="Verdana" w:eastAsia="Verdana" w:hAnsi="Verdana" w:cs="Verdana"/>
          <w:sz w:val="24"/>
        </w:rPr>
        <w:t>Capoprogetto</w:t>
      </w:r>
      <w:proofErr w:type="spellEnd"/>
      <w:r>
        <w:rPr>
          <w:rFonts w:ascii="Verdana" w:eastAsia="Verdana" w:hAnsi="Verdana" w:cs="Verdana"/>
          <w:sz w:val="24"/>
        </w:rPr>
        <w:t>, componente dell’Ufficio di Progettazione, Direttore dei Lavori, Direttore Operativo.). La corresponsione delle aliquote di cui ai punti b</w:t>
      </w:r>
      <w:proofErr w:type="spellStart"/>
      <w:r>
        <w:rPr>
          <w:rFonts w:ascii="Verdana" w:eastAsia="Verdana" w:hAnsi="Verdana" w:cs="Verdana"/>
          <w:sz w:val="24"/>
        </w:rPr>
        <w:t>.</w:t>
      </w:r>
      <w:proofErr w:type="spellEnd"/>
      <w:r>
        <w:rPr>
          <w:rFonts w:ascii="Verdana" w:eastAsia="Verdana" w:hAnsi="Verdana" w:cs="Verdana"/>
          <w:sz w:val="24"/>
        </w:rPr>
        <w:t>2 e b</w:t>
      </w:r>
      <w:proofErr w:type="spellStart"/>
      <w:r>
        <w:rPr>
          <w:rFonts w:ascii="Verdana" w:eastAsia="Verdana" w:hAnsi="Verdana" w:cs="Verdana"/>
          <w:sz w:val="24"/>
        </w:rPr>
        <w:t>.</w:t>
      </w:r>
      <w:proofErr w:type="spellEnd"/>
      <w:r>
        <w:rPr>
          <w:rFonts w:ascii="Verdana" w:eastAsia="Verdana" w:hAnsi="Verdana" w:cs="Verdana"/>
          <w:sz w:val="24"/>
        </w:rPr>
        <w:t>4 saran</w:t>
      </w:r>
      <w:r>
        <w:rPr>
          <w:rFonts w:ascii="Verdana" w:eastAsia="Verdana" w:hAnsi="Verdana" w:cs="Verdana"/>
          <w:sz w:val="24"/>
        </w:rPr>
        <w:t>no imputate univocamente al soggetto incaricato dei servizi di coordinamento in materia di sicurezza.</w:t>
      </w:r>
    </w:p>
    <w:p w:rsidR="000929F0" w:rsidRDefault="000929F0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0929F0" w:rsidRDefault="00895083">
      <w:pPr>
        <w:spacing w:after="0" w:line="240" w:lineRule="auto"/>
        <w:ind w:left="10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>ART. 4</w:t>
      </w:r>
    </w:p>
    <w:p w:rsidR="000929F0" w:rsidRDefault="00895083">
      <w:pPr>
        <w:spacing w:after="0" w:line="240" w:lineRule="auto"/>
        <w:ind w:left="10"/>
        <w:rPr>
          <w:rFonts w:ascii="Verdana" w:eastAsia="Verdana" w:hAnsi="Verdana" w:cs="Verdana"/>
          <w:b/>
          <w:i/>
          <w:sz w:val="24"/>
        </w:rPr>
      </w:pPr>
      <w:r>
        <w:rPr>
          <w:rFonts w:ascii="Verdana" w:eastAsia="Verdana" w:hAnsi="Verdana" w:cs="Verdana"/>
          <w:b/>
          <w:i/>
          <w:sz w:val="24"/>
        </w:rPr>
        <w:t>Quantificazione e liquidazione del fondo</w:t>
      </w:r>
    </w:p>
    <w:p w:rsidR="000929F0" w:rsidRDefault="00895083">
      <w:pPr>
        <w:numPr>
          <w:ilvl w:val="0"/>
          <w:numId w:val="8"/>
        </w:numPr>
        <w:tabs>
          <w:tab w:val="left" w:pos="376"/>
        </w:tabs>
        <w:spacing w:after="0" w:line="240" w:lineRule="auto"/>
        <w:ind w:left="10" w:hanging="10"/>
        <w:jc w:val="both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L’incentivo di cui all’art. 2 è riferito all’importo dei lavori posto a base di gara, come prima definito, compreso il maggiore importo lordo derivante dall’eventuale redazione di perizie di variante e suppletive in aumento.</w:t>
      </w:r>
    </w:p>
    <w:p w:rsidR="000929F0" w:rsidRDefault="000929F0">
      <w:pPr>
        <w:spacing w:line="240" w:lineRule="auto"/>
        <w:rPr>
          <w:rFonts w:ascii="Verdana" w:eastAsia="Verdana" w:hAnsi="Verdana" w:cs="Verdana"/>
          <w:sz w:val="24"/>
        </w:rPr>
      </w:pPr>
    </w:p>
    <w:p w:rsidR="000929F0" w:rsidRDefault="00895083">
      <w:pPr>
        <w:numPr>
          <w:ilvl w:val="0"/>
          <w:numId w:val="9"/>
        </w:numPr>
        <w:tabs>
          <w:tab w:val="left" w:pos="371"/>
        </w:tabs>
        <w:spacing w:after="0" w:line="240" w:lineRule="auto"/>
        <w:ind w:left="10" w:hanging="10"/>
        <w:jc w:val="both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L’incentivo al </w:t>
      </w:r>
      <w:proofErr w:type="spellStart"/>
      <w:r>
        <w:rPr>
          <w:rFonts w:ascii="Verdana" w:eastAsia="Verdana" w:hAnsi="Verdana" w:cs="Verdana"/>
          <w:sz w:val="24"/>
        </w:rPr>
        <w:t>R.U.P.</w:t>
      </w:r>
      <w:proofErr w:type="spellEnd"/>
      <w:r>
        <w:rPr>
          <w:rFonts w:ascii="Verdana" w:eastAsia="Verdana" w:hAnsi="Verdana" w:cs="Verdana"/>
          <w:sz w:val="24"/>
        </w:rPr>
        <w:t xml:space="preserve"> e quello</w:t>
      </w:r>
      <w:r>
        <w:rPr>
          <w:rFonts w:ascii="Verdana" w:eastAsia="Verdana" w:hAnsi="Verdana" w:cs="Verdana"/>
          <w:sz w:val="24"/>
        </w:rPr>
        <w:t xml:space="preserve"> di supporto al </w:t>
      </w:r>
      <w:proofErr w:type="spellStart"/>
      <w:r>
        <w:rPr>
          <w:rFonts w:ascii="Verdana" w:eastAsia="Verdana" w:hAnsi="Verdana" w:cs="Verdana"/>
          <w:sz w:val="24"/>
        </w:rPr>
        <w:t>R.U.P.</w:t>
      </w:r>
      <w:proofErr w:type="spellEnd"/>
      <w:r>
        <w:rPr>
          <w:rFonts w:ascii="Verdana" w:eastAsia="Verdana" w:hAnsi="Verdana" w:cs="Verdana"/>
          <w:sz w:val="24"/>
        </w:rPr>
        <w:t xml:space="preserve"> (voci a) e d)) verrà liquidato al termine del lavoro o della fornitura.</w:t>
      </w:r>
    </w:p>
    <w:p w:rsidR="000929F0" w:rsidRDefault="000929F0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0929F0" w:rsidRDefault="000929F0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0929F0" w:rsidRDefault="00895083">
      <w:pPr>
        <w:spacing w:after="0" w:line="240" w:lineRule="auto"/>
        <w:ind w:left="10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>ART. 5</w:t>
      </w:r>
    </w:p>
    <w:p w:rsidR="000929F0" w:rsidRDefault="00895083">
      <w:pPr>
        <w:spacing w:after="0" w:line="240" w:lineRule="auto"/>
        <w:ind w:left="10"/>
        <w:rPr>
          <w:rFonts w:ascii="Verdana" w:eastAsia="Verdana" w:hAnsi="Verdana" w:cs="Verdana"/>
          <w:b/>
          <w:i/>
          <w:sz w:val="24"/>
        </w:rPr>
      </w:pPr>
      <w:r>
        <w:rPr>
          <w:rFonts w:ascii="Verdana" w:eastAsia="Verdana" w:hAnsi="Verdana" w:cs="Verdana"/>
          <w:b/>
          <w:i/>
          <w:sz w:val="24"/>
        </w:rPr>
        <w:t>Sostituzione del Responsabile Unico del Procedimento</w:t>
      </w:r>
    </w:p>
    <w:p w:rsidR="000929F0" w:rsidRDefault="00895083">
      <w:pPr>
        <w:numPr>
          <w:ilvl w:val="0"/>
          <w:numId w:val="10"/>
        </w:numPr>
        <w:tabs>
          <w:tab w:val="left" w:pos="403"/>
        </w:tabs>
        <w:spacing w:after="0" w:line="240" w:lineRule="auto"/>
        <w:ind w:left="10" w:hanging="10"/>
        <w:jc w:val="both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Il Responsabile Unico del Procedimento, per i procedimenti e le fasi ricadenti sotto la sua respons</w:t>
      </w:r>
      <w:r>
        <w:rPr>
          <w:rFonts w:ascii="Verdana" w:eastAsia="Verdana" w:hAnsi="Verdana" w:cs="Verdana"/>
          <w:sz w:val="24"/>
        </w:rPr>
        <w:t>abilità, può essere sostituito con altro responsabile nei seguenti casi:</w:t>
      </w:r>
    </w:p>
    <w:p w:rsidR="000929F0" w:rsidRDefault="000929F0">
      <w:pPr>
        <w:spacing w:line="240" w:lineRule="auto"/>
        <w:ind w:left="570" w:right="860"/>
        <w:rPr>
          <w:rFonts w:ascii="Verdana" w:eastAsia="Verdana" w:hAnsi="Verdana" w:cs="Verdana"/>
          <w:sz w:val="24"/>
        </w:rPr>
      </w:pPr>
    </w:p>
    <w:p w:rsidR="000929F0" w:rsidRDefault="00895083">
      <w:pPr>
        <w:spacing w:after="0" w:line="240" w:lineRule="auto"/>
        <w:ind w:left="573" w:right="860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a ) decadenza del rapporto di lavoro per raggiunti limiti di età; </w:t>
      </w:r>
    </w:p>
    <w:p w:rsidR="000929F0" w:rsidRDefault="00895083">
      <w:pPr>
        <w:spacing w:after="0" w:line="240" w:lineRule="auto"/>
        <w:ind w:left="573" w:right="860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b ) trasferimento ad altro ufficio diverso dal dipartimento;</w:t>
      </w:r>
    </w:p>
    <w:p w:rsidR="000929F0" w:rsidRDefault="00895083">
      <w:pPr>
        <w:spacing w:after="0" w:line="240" w:lineRule="auto"/>
        <w:ind w:left="573" w:right="2480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c ) rinuncia all’incarico con adeguata motivazione; </w:t>
      </w:r>
    </w:p>
    <w:p w:rsidR="000929F0" w:rsidRDefault="00895083">
      <w:pPr>
        <w:spacing w:after="0" w:line="240" w:lineRule="auto"/>
        <w:ind w:left="573" w:right="2480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d ) revoca del mandato.</w:t>
      </w:r>
    </w:p>
    <w:p w:rsidR="000929F0" w:rsidRDefault="000929F0">
      <w:pPr>
        <w:spacing w:line="240" w:lineRule="auto"/>
        <w:rPr>
          <w:rFonts w:ascii="Verdana" w:eastAsia="Verdana" w:hAnsi="Verdana" w:cs="Verdana"/>
          <w:sz w:val="24"/>
        </w:rPr>
      </w:pPr>
    </w:p>
    <w:p w:rsidR="000929F0" w:rsidRDefault="00895083">
      <w:pPr>
        <w:spacing w:line="240" w:lineRule="auto"/>
        <w:ind w:left="10"/>
        <w:jc w:val="both"/>
        <w:rPr>
          <w:rFonts w:ascii="Verdana" w:eastAsia="Verdana" w:hAnsi="Verdana" w:cs="Verdana"/>
          <w:sz w:val="26"/>
        </w:rPr>
      </w:pPr>
      <w:r>
        <w:rPr>
          <w:rFonts w:ascii="Verdana" w:eastAsia="Verdana" w:hAnsi="Verdana" w:cs="Verdana"/>
          <w:sz w:val="24"/>
        </w:rPr>
        <w:t xml:space="preserve">In tali casi, ad eccezione del punto d), il responsabile unico del procedimento ha diritto alla corresponsione della quota parte del fondo relativa alle attività effettivamente svolte e certificate dal responsabile </w:t>
      </w:r>
      <w:r>
        <w:rPr>
          <w:rFonts w:ascii="Verdana" w:eastAsia="Verdana" w:hAnsi="Verdana" w:cs="Verdana"/>
          <w:sz w:val="26"/>
        </w:rPr>
        <w:t>unico del procedimento subentrante sempre con le modalità di cui al comma 2 dell’art. 4.</w:t>
      </w:r>
    </w:p>
    <w:p w:rsidR="000929F0" w:rsidRDefault="000929F0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0929F0" w:rsidRDefault="00895083">
      <w:pPr>
        <w:numPr>
          <w:ilvl w:val="0"/>
          <w:numId w:val="11"/>
        </w:numPr>
        <w:tabs>
          <w:tab w:val="left" w:pos="403"/>
        </w:tabs>
        <w:spacing w:after="0" w:line="281" w:lineRule="auto"/>
        <w:ind w:left="10" w:hanging="10"/>
        <w:jc w:val="both"/>
        <w:rPr>
          <w:rFonts w:ascii="Verdana" w:eastAsia="Verdana" w:hAnsi="Verdana" w:cs="Verdana"/>
          <w:sz w:val="26"/>
        </w:rPr>
      </w:pPr>
      <w:r>
        <w:rPr>
          <w:rFonts w:ascii="Verdana" w:eastAsia="Verdana" w:hAnsi="Verdana" w:cs="Verdana"/>
          <w:sz w:val="26"/>
        </w:rPr>
        <w:t>Intervenuta la sostituzione del Responsabile Unico del Procedimento cessano, contestualmente, le responsabilità di natura amministrativa, tecnica e personale salvo qu</w:t>
      </w:r>
      <w:r>
        <w:rPr>
          <w:rFonts w:ascii="Verdana" w:eastAsia="Verdana" w:hAnsi="Verdana" w:cs="Verdana"/>
          <w:sz w:val="26"/>
        </w:rPr>
        <w:t>elle connesse con la fase direttamente espletata.</w:t>
      </w:r>
    </w:p>
    <w:p w:rsidR="000929F0" w:rsidRDefault="000929F0">
      <w:pPr>
        <w:rPr>
          <w:rFonts w:ascii="Times New Roman" w:eastAsia="Times New Roman" w:hAnsi="Times New Roman" w:cs="Times New Roman"/>
          <w:sz w:val="24"/>
        </w:rPr>
      </w:pPr>
    </w:p>
    <w:p w:rsidR="000929F0" w:rsidRDefault="00895083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Approvato dal Consiglio d’Istituto in data  14 marzo 2018.  La delibera assume il numero  16 </w:t>
      </w:r>
      <w:r>
        <w:rPr>
          <w:rFonts w:ascii="Verdana" w:eastAsia="Verdana" w:hAnsi="Verdana" w:cs="Verdana"/>
          <w:sz w:val="24"/>
        </w:rPr>
        <w:t>ed è valida fino ad eventuali modifiche e/o integrazioni.</w:t>
      </w:r>
    </w:p>
    <w:p w:rsidR="000929F0" w:rsidRDefault="000929F0">
      <w:pPr>
        <w:rPr>
          <w:rFonts w:ascii="Times New Roman" w:eastAsia="Times New Roman" w:hAnsi="Times New Roman" w:cs="Times New Roman"/>
          <w:sz w:val="24"/>
        </w:rPr>
      </w:pPr>
    </w:p>
    <w:p w:rsidR="000929F0" w:rsidRDefault="00895083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Il Dirigente Scolastico</w:t>
      </w:r>
    </w:p>
    <w:p w:rsidR="000929F0" w:rsidRDefault="00895083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Nicola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Armignacca</w:t>
      </w:r>
      <w:proofErr w:type="spellEnd"/>
    </w:p>
    <w:p w:rsidR="000929F0" w:rsidRDefault="000929F0">
      <w:pPr>
        <w:rPr>
          <w:rFonts w:ascii="Times New Roman" w:eastAsia="Times New Roman" w:hAnsi="Times New Roman" w:cs="Times New Roman"/>
          <w:sz w:val="24"/>
        </w:rPr>
      </w:pPr>
    </w:p>
    <w:sectPr w:rsidR="000929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03BE"/>
    <w:multiLevelType w:val="multilevel"/>
    <w:tmpl w:val="6F1CF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8A0C3B"/>
    <w:multiLevelType w:val="multilevel"/>
    <w:tmpl w:val="DF6480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2501EE"/>
    <w:multiLevelType w:val="multilevel"/>
    <w:tmpl w:val="85629C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E051BC"/>
    <w:multiLevelType w:val="multilevel"/>
    <w:tmpl w:val="DFD20A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347762"/>
    <w:multiLevelType w:val="multilevel"/>
    <w:tmpl w:val="96584C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1B50E7"/>
    <w:multiLevelType w:val="multilevel"/>
    <w:tmpl w:val="F68CEC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8E1616"/>
    <w:multiLevelType w:val="multilevel"/>
    <w:tmpl w:val="1026BE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CF405F"/>
    <w:multiLevelType w:val="multilevel"/>
    <w:tmpl w:val="885235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120DFC"/>
    <w:multiLevelType w:val="multilevel"/>
    <w:tmpl w:val="283034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2613DB"/>
    <w:multiLevelType w:val="multilevel"/>
    <w:tmpl w:val="FD987C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8A13BE"/>
    <w:multiLevelType w:val="multilevel"/>
    <w:tmpl w:val="0B74A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0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929F0"/>
    <w:rsid w:val="000929F0"/>
    <w:rsid w:val="0089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castelverderom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822</Words>
  <Characters>4688</Characters>
  <Application>Microsoft Office Word</Application>
  <DocSecurity>0</DocSecurity>
  <Lines>39</Lines>
  <Paragraphs>10</Paragraphs>
  <ScaleCrop>false</ScaleCrop>
  <Company>BASTARDS TeaM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nick</cp:lastModifiedBy>
  <cp:revision>2</cp:revision>
  <dcterms:created xsi:type="dcterms:W3CDTF">2018-03-15T10:10:00Z</dcterms:created>
  <dcterms:modified xsi:type="dcterms:W3CDTF">2018-03-15T10:12:00Z</dcterms:modified>
</cp:coreProperties>
</file>